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31" w:rsidRDefault="007F3A31">
      <w:pPr>
        <w:bidi/>
        <w:ind w:left="-180"/>
        <w:rPr>
          <w:color w:val="000000"/>
        </w:rPr>
      </w:pPr>
    </w:p>
    <w:tbl>
      <w:tblPr>
        <w:tblW w:w="0" w:type="auto"/>
        <w:tblInd w:w="-72" w:type="dxa"/>
        <w:tblLayout w:type="fixed"/>
        <w:tblLook w:val="01E0"/>
      </w:tblPr>
      <w:tblGrid>
        <w:gridCol w:w="5675"/>
        <w:gridCol w:w="3698"/>
      </w:tblGrid>
      <w:tr w:rsidR="007F3A31">
        <w:trPr>
          <w:trHeight w:val="1355"/>
        </w:trPr>
        <w:tc>
          <w:tcPr>
            <w:tcW w:w="5675" w:type="dxa"/>
          </w:tcPr>
          <w:p w:rsidR="007F3A31" w:rsidRDefault="00CE64FF">
            <w:pPr>
              <w:pStyle w:val="Header"/>
              <w:rPr>
                <w:color w:val="000000"/>
              </w:rPr>
            </w:pPr>
            <w:r w:rsidRPr="00CE64FF">
              <w:rPr>
                <w:color w:val="000000"/>
              </w:rPr>
              <w:drawing>
                <wp:inline distT="0" distB="0" distL="0" distR="0">
                  <wp:extent cx="2647950" cy="880972"/>
                  <wp:effectExtent l="19050" t="0" r="0" b="0"/>
                  <wp:docPr id="10" name="Picture 1" descr="http://ifcnet.ifc.org/ifcint/ccrdr.nsf/AttachmentsByTitle/IFC_Logo_EngF_Black_Horz_jpg/$FILE/IFC_Logo_Eng_Black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cnet.ifc.org/ifcint/ccrdr.nsf/AttachmentsByTitle/IFC_Logo_EngF_Black_Horz_jpg/$FILE/IFC_Logo_Eng_Black_Horz.jpg"/>
                          <pic:cNvPicPr>
                            <a:picLocks noChangeAspect="1" noChangeArrowheads="1"/>
                          </pic:cNvPicPr>
                        </pic:nvPicPr>
                        <pic:blipFill>
                          <a:blip r:embed="rId7" cstate="print"/>
                          <a:srcRect/>
                          <a:stretch>
                            <a:fillRect/>
                          </a:stretch>
                        </pic:blipFill>
                        <pic:spPr bwMode="auto">
                          <a:xfrm>
                            <a:off x="0" y="0"/>
                            <a:ext cx="2647950" cy="880972"/>
                          </a:xfrm>
                          <a:prstGeom prst="rect">
                            <a:avLst/>
                          </a:prstGeom>
                          <a:noFill/>
                          <a:ln w="9525">
                            <a:noFill/>
                            <a:miter lim="800000"/>
                            <a:headEnd/>
                            <a:tailEnd/>
                          </a:ln>
                        </pic:spPr>
                      </pic:pic>
                    </a:graphicData>
                  </a:graphic>
                </wp:inline>
              </w:drawing>
            </w:r>
          </w:p>
        </w:tc>
        <w:tc>
          <w:tcPr>
            <w:tcW w:w="3698" w:type="dxa"/>
          </w:tcPr>
          <w:p w:rsidR="007F3A31" w:rsidRDefault="00955779">
            <w:pPr>
              <w:pStyle w:val="Header"/>
              <w:rPr>
                <w:color w:val="000000"/>
              </w:rPr>
            </w:pPr>
            <w:r>
              <w:rPr>
                <w:noProof/>
                <w:snapToGrid/>
                <w:color w:val="000000"/>
              </w:rPr>
              <w:drawing>
                <wp:inline distT="0" distB="0" distL="0" distR="0">
                  <wp:extent cx="2238375" cy="609600"/>
                  <wp:effectExtent l="19050" t="0" r="9525" b="0"/>
                  <wp:docPr id="2" name="Picture 2" descr="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_logo"/>
                          <pic:cNvPicPr>
                            <a:picLocks noChangeAspect="1" noChangeArrowheads="1"/>
                          </pic:cNvPicPr>
                        </pic:nvPicPr>
                        <pic:blipFill>
                          <a:blip r:embed="rId8" cstate="print"/>
                          <a:srcRect/>
                          <a:stretch>
                            <a:fillRect/>
                          </a:stretch>
                        </pic:blipFill>
                        <pic:spPr bwMode="auto">
                          <a:xfrm>
                            <a:off x="0" y="0"/>
                            <a:ext cx="2238375" cy="609600"/>
                          </a:xfrm>
                          <a:prstGeom prst="rect">
                            <a:avLst/>
                          </a:prstGeom>
                          <a:noFill/>
                          <a:ln w="9525">
                            <a:noFill/>
                            <a:miter lim="800000"/>
                            <a:headEnd/>
                            <a:tailEnd/>
                          </a:ln>
                        </pic:spPr>
                      </pic:pic>
                    </a:graphicData>
                  </a:graphic>
                </wp:inline>
              </w:drawing>
            </w:r>
          </w:p>
        </w:tc>
      </w:tr>
    </w:tbl>
    <w:p w:rsidR="007F3A31" w:rsidRDefault="007F3A31">
      <w:pPr>
        <w:bidi/>
        <w:rPr>
          <w:color w:val="000000"/>
        </w:rPr>
      </w:pPr>
    </w:p>
    <w:p w:rsidR="007F3A31" w:rsidRDefault="007F3A31">
      <w:pPr>
        <w:autoSpaceDE w:val="0"/>
        <w:autoSpaceDN w:val="0"/>
        <w:bidi/>
        <w:adjustRightInd w:val="0"/>
        <w:spacing w:after="240" w:line="240" w:lineRule="atLeast"/>
        <w:rPr>
          <w:b/>
          <w:color w:val="000000"/>
        </w:rPr>
      </w:pPr>
      <w:r>
        <w:rPr>
          <w:rFonts w:cs="Simplified Arabic"/>
          <w:bCs/>
          <w:color w:val="000000"/>
          <w:rtl/>
        </w:rPr>
        <w:t xml:space="preserve">بيان صحفي </w:t>
      </w:r>
    </w:p>
    <w:p w:rsidR="007F3A31" w:rsidRDefault="007F3A31">
      <w:pPr>
        <w:autoSpaceDE w:val="0"/>
        <w:autoSpaceDN w:val="0"/>
        <w:bidi/>
        <w:adjustRightInd w:val="0"/>
        <w:jc w:val="both"/>
        <w:rPr>
          <w:b/>
          <w:color w:val="000000"/>
        </w:rPr>
      </w:pPr>
      <w:r>
        <w:rPr>
          <w:rFonts w:cs="Simplified Arabic"/>
          <w:bCs/>
          <w:color w:val="000000"/>
          <w:rtl/>
        </w:rPr>
        <w:t>في واشنطن العاصمة:</w:t>
      </w:r>
    </w:p>
    <w:p w:rsidR="007F3A31" w:rsidRDefault="007F3A31">
      <w:pPr>
        <w:autoSpaceDE w:val="0"/>
        <w:autoSpaceDN w:val="0"/>
        <w:bidi/>
        <w:adjustRightInd w:val="0"/>
        <w:jc w:val="both"/>
        <w:rPr>
          <w:b/>
          <w:color w:val="000000"/>
          <w:lang w:val="it-IT"/>
        </w:rPr>
      </w:pPr>
      <w:r>
        <w:rPr>
          <w:rFonts w:cs="Simplified Arabic"/>
          <w:bCs/>
          <w:color w:val="000000"/>
          <w:rtl/>
        </w:rPr>
        <w:t>نادين غنام</w:t>
      </w:r>
    </w:p>
    <w:p w:rsidR="007F3A31" w:rsidRDefault="007F3A31">
      <w:pPr>
        <w:autoSpaceDE w:val="0"/>
        <w:autoSpaceDN w:val="0"/>
        <w:bidi/>
        <w:adjustRightInd w:val="0"/>
        <w:jc w:val="both"/>
        <w:rPr>
          <w:b/>
          <w:color w:val="000000"/>
          <w:lang w:val="it-IT"/>
        </w:rPr>
      </w:pPr>
      <w:r>
        <w:rPr>
          <w:rFonts w:cs="Simplified Arabic"/>
          <w:bCs/>
          <w:color w:val="000000"/>
          <w:rtl/>
        </w:rPr>
        <w:t>هاتف:</w:t>
      </w:r>
      <w:r>
        <w:rPr>
          <w:b/>
          <w:color w:val="000000"/>
          <w:lang w:val="it-IT"/>
        </w:rPr>
        <w:t xml:space="preserve"> </w:t>
      </w:r>
      <w:r>
        <w:rPr>
          <w:color w:val="000000"/>
          <w:lang w:val="it-IT"/>
        </w:rPr>
        <w:t>+1 (202) 473-3011</w:t>
      </w:r>
      <w:r>
        <w:rPr>
          <w:color w:val="000000"/>
          <w:lang w:val="it-IT"/>
        </w:rPr>
        <w:tab/>
      </w:r>
    </w:p>
    <w:p w:rsidR="007F3A31" w:rsidRDefault="007F3A31">
      <w:pPr>
        <w:autoSpaceDE w:val="0"/>
        <w:autoSpaceDN w:val="0"/>
        <w:bidi/>
        <w:adjustRightInd w:val="0"/>
        <w:jc w:val="both"/>
        <w:rPr>
          <w:color w:val="000000"/>
          <w:lang w:val="it-IT"/>
        </w:rPr>
      </w:pPr>
      <w:r>
        <w:rPr>
          <w:rFonts w:cs="Simplified Arabic" w:hint="cs"/>
          <w:bCs/>
          <w:color w:val="000000"/>
          <w:rtl/>
        </w:rPr>
        <w:t>بريد</w:t>
      </w:r>
      <w:r>
        <w:rPr>
          <w:rFonts w:cs="Simplified Arabic"/>
          <w:bCs/>
          <w:color w:val="000000"/>
          <w:rtl/>
        </w:rPr>
        <w:t xml:space="preserve"> إلكتروني:</w:t>
      </w:r>
      <w:r w:rsidR="00ED51F5">
        <w:rPr>
          <w:rFonts w:cs="Simplified Arabic"/>
          <w:bCs/>
          <w:color w:val="000000"/>
          <w:rtl/>
        </w:rPr>
        <w:t xml:space="preserve"> </w:t>
      </w:r>
      <w:r>
        <w:rPr>
          <w:b/>
          <w:color w:val="000000"/>
        </w:rPr>
        <w:t>nsghannam@ifc.org</w:t>
      </w:r>
    </w:p>
    <w:p w:rsidR="007F3A31" w:rsidRDefault="007F3A31">
      <w:pPr>
        <w:autoSpaceDE w:val="0"/>
        <w:autoSpaceDN w:val="0"/>
        <w:bidi/>
        <w:adjustRightInd w:val="0"/>
        <w:rPr>
          <w:b/>
          <w:color w:val="000000"/>
          <w:lang w:val="it-IT"/>
        </w:rPr>
      </w:pPr>
    </w:p>
    <w:p w:rsidR="007F3A31" w:rsidRPr="00ED51F5" w:rsidRDefault="007F3A31" w:rsidP="00BE6BCF">
      <w:pPr>
        <w:autoSpaceDE w:val="0"/>
        <w:autoSpaceDN w:val="0"/>
        <w:bidi/>
        <w:adjustRightInd w:val="0"/>
        <w:jc w:val="center"/>
        <w:rPr>
          <w:color w:val="000000"/>
          <w:sz w:val="28"/>
          <w:szCs w:val="28"/>
          <w:lang w:val="it-IT"/>
        </w:rPr>
      </w:pPr>
      <w:r w:rsidRPr="00ED51F5">
        <w:rPr>
          <w:rFonts w:cs="Simplified Arabic"/>
          <w:bCs/>
          <w:color w:val="000000"/>
          <w:sz w:val="28"/>
          <w:szCs w:val="28"/>
          <w:rtl/>
        </w:rPr>
        <w:t xml:space="preserve">تقرير ممارسة أنشطة الأعمال 2011: </w:t>
      </w:r>
      <w:r w:rsidRPr="00ED51F5">
        <w:rPr>
          <w:rStyle w:val="tw4winMark"/>
          <w:rFonts w:ascii="Times New Roman" w:hAnsi="Times New Roman" w:cs="Simplified Arabic"/>
          <w:color w:val="000000"/>
          <w:sz w:val="28"/>
          <w:szCs w:val="28"/>
          <w:rtl/>
        </w:rPr>
        <w:t xml:space="preserve"> </w:t>
      </w:r>
      <w:r w:rsidRPr="00ED51F5">
        <w:rPr>
          <w:rFonts w:cs="Simplified Arabic"/>
          <w:bCs/>
          <w:color w:val="000000"/>
          <w:sz w:val="28"/>
          <w:szCs w:val="28"/>
          <w:rtl/>
        </w:rPr>
        <w:t xml:space="preserve">تسهيل التجارة وتعزيز المعلومات الائتمانية يتصدران </w:t>
      </w:r>
      <w:r w:rsidR="00BE6BCF" w:rsidRPr="00BE6BCF">
        <w:rPr>
          <w:rFonts w:cs="Simplified Arabic"/>
          <w:bCs/>
          <w:color w:val="000000"/>
          <w:sz w:val="28"/>
          <w:szCs w:val="28"/>
          <w:rtl/>
        </w:rPr>
        <w:t>برنامج</w:t>
      </w:r>
      <w:r w:rsidR="00BE6BCF">
        <w:rPr>
          <w:rFonts w:cs="Simplified Arabic"/>
          <w:bCs/>
          <w:color w:val="000000"/>
          <w:sz w:val="28"/>
          <w:szCs w:val="28"/>
        </w:rPr>
        <w:t xml:space="preserve"> </w:t>
      </w:r>
      <w:r w:rsidRPr="00ED51F5">
        <w:rPr>
          <w:rFonts w:cs="Simplified Arabic"/>
          <w:bCs/>
          <w:color w:val="000000"/>
          <w:sz w:val="28"/>
          <w:szCs w:val="28"/>
          <w:rtl/>
        </w:rPr>
        <w:t xml:space="preserve"> الإصلاحات لتحسين الإجراءات الحكومية المنظمة لأنشطة الأعمال في الشرق الأوسط وشمال أفريقيا 2009/2010 </w:t>
      </w:r>
    </w:p>
    <w:p w:rsidR="007F3A31" w:rsidRDefault="007F3A31">
      <w:pPr>
        <w:bidi/>
        <w:rPr>
          <w:b/>
          <w:color w:val="000000"/>
          <w:lang w:val="it-IT"/>
        </w:rPr>
      </w:pPr>
    </w:p>
    <w:p w:rsidR="007F3A31" w:rsidRDefault="007F3A31" w:rsidP="00CE5D7A">
      <w:pPr>
        <w:autoSpaceDE w:val="0"/>
        <w:autoSpaceDN w:val="0"/>
        <w:bidi/>
        <w:adjustRightInd w:val="0"/>
        <w:rPr>
          <w:color w:val="000000"/>
        </w:rPr>
      </w:pPr>
      <w:bookmarkStart w:id="0" w:name="OLE_LINK3"/>
      <w:bookmarkStart w:id="1" w:name="OLE_LINK4"/>
      <w:r>
        <w:rPr>
          <w:rFonts w:cs="Simplified Arabic"/>
          <w:bCs/>
          <w:color w:val="000000"/>
          <w:rtl/>
        </w:rPr>
        <w:t>واشنطن العاصمة، 4 نوفمبر/تشرين الثاني 2010</w:t>
      </w:r>
      <w:r>
        <w:rPr>
          <w:rFonts w:cs="Simplified Arabic"/>
          <w:color w:val="000000"/>
          <w:rtl/>
        </w:rPr>
        <w:t xml:space="preserve"> ـ أظهر تقرير "</w:t>
      </w:r>
      <w:r>
        <w:rPr>
          <w:rFonts w:cs="Simplified Arabic"/>
          <w:iCs/>
          <w:color w:val="000000"/>
          <w:rtl/>
        </w:rPr>
        <w:t>ممارسة أنشطة الأعمال 2011:</w:t>
      </w:r>
      <w:r w:rsidR="00645098">
        <w:rPr>
          <w:rFonts w:cs="Simplified Arabic" w:hint="cs"/>
          <w:iCs/>
          <w:color w:val="000000"/>
          <w:rtl/>
        </w:rPr>
        <w:t xml:space="preserve">من أجل مساندة أصحاب الأعمال </w:t>
      </w:r>
      <w:r>
        <w:rPr>
          <w:rFonts w:cs="Simplified Arabic"/>
          <w:color w:val="000000"/>
          <w:rtl/>
        </w:rPr>
        <w:t xml:space="preserve">"، وهو الثامن في سلسلة من التقارير السنوية الصادرة عن مؤسسة التمويل الدولية والبنك الدولي، أن 11 من بين 18 بلداً في منطقة الشرق الأوسط وشمال أفريقيا طبقت ما مجموعه 22 إصلاحاً في إجراءاتها الحكومية المنظمة لأنشطة الأعمال بغرض إتاحة الفرص أمام أصحاب </w:t>
      </w:r>
      <w:r w:rsidR="00645098">
        <w:rPr>
          <w:rFonts w:cs="Simplified Arabic" w:hint="cs"/>
          <w:color w:val="000000"/>
          <w:rtl/>
        </w:rPr>
        <w:t>الاعمال</w:t>
      </w:r>
      <w:r w:rsidR="00645098">
        <w:rPr>
          <w:rFonts w:cs="Simplified Arabic"/>
          <w:color w:val="000000"/>
          <w:rtl/>
        </w:rPr>
        <w:t xml:space="preserve"> </w:t>
      </w:r>
      <w:r>
        <w:rPr>
          <w:rFonts w:cs="Simplified Arabic"/>
          <w:color w:val="000000"/>
          <w:rtl/>
        </w:rPr>
        <w:t>المحليين.</w:t>
      </w:r>
      <w:r w:rsidR="00ED51F5">
        <w:rPr>
          <w:rFonts w:cs="Simplified Arabic"/>
          <w:color w:val="000000"/>
          <w:rtl/>
        </w:rPr>
        <w:t xml:space="preserve"> </w:t>
      </w:r>
    </w:p>
    <w:bookmarkEnd w:id="0"/>
    <w:bookmarkEnd w:id="1"/>
    <w:p w:rsidR="007F3A31" w:rsidRDefault="007F3A31">
      <w:pPr>
        <w:autoSpaceDE w:val="0"/>
        <w:autoSpaceDN w:val="0"/>
        <w:bidi/>
        <w:adjustRightInd w:val="0"/>
        <w:rPr>
          <w:b/>
          <w:color w:val="000000"/>
        </w:rPr>
      </w:pPr>
    </w:p>
    <w:p w:rsidR="007F3A31" w:rsidRDefault="007F3A31" w:rsidP="00FE2900">
      <w:pPr>
        <w:autoSpaceDE w:val="0"/>
        <w:autoSpaceDN w:val="0"/>
        <w:bidi/>
        <w:adjustRightInd w:val="0"/>
        <w:rPr>
          <w:color w:val="000000"/>
        </w:rPr>
      </w:pPr>
      <w:r>
        <w:rPr>
          <w:rFonts w:cs="Simplified Arabic"/>
          <w:color w:val="000000"/>
          <w:rtl/>
        </w:rPr>
        <w:t xml:space="preserve">ووفقاً لهذا التقرير، تصدّر تسهيل التجارة عبر الحدود قائمة </w:t>
      </w:r>
      <w:r w:rsidR="004F790F">
        <w:rPr>
          <w:rFonts w:cs="Simplified Arabic"/>
          <w:color w:val="000000"/>
          <w:rtl/>
        </w:rPr>
        <w:t>الأ</w:t>
      </w:r>
      <w:r>
        <w:rPr>
          <w:rFonts w:cs="Simplified Arabic"/>
          <w:color w:val="000000"/>
          <w:rtl/>
        </w:rPr>
        <w:t>ولويات.</w:t>
      </w:r>
      <w:r w:rsidR="00ED51F5">
        <w:rPr>
          <w:rFonts w:cs="Simplified Arabic"/>
          <w:color w:val="000000"/>
          <w:rtl/>
        </w:rPr>
        <w:t xml:space="preserve"> </w:t>
      </w:r>
      <w:r>
        <w:rPr>
          <w:rFonts w:cs="Simplified Arabic"/>
          <w:color w:val="000000"/>
          <w:rtl/>
        </w:rPr>
        <w:t>إذ قامت ستة بلدان، هي البحرين وجمهورية مصر العربية والمملكة العربية السعودية وتونس والإمارات العربية المتحدة والضفة الغربية وقطاع غزة، بتحديث إجراءاتها الجمركية والبنية التحتية لمرافئها.</w:t>
      </w:r>
      <w:r>
        <w:rPr>
          <w:color w:val="000000"/>
        </w:rPr>
        <w:t xml:space="preserve"> </w:t>
      </w:r>
      <w:r>
        <w:rPr>
          <w:rFonts w:cs="Simplified Arabic"/>
          <w:color w:val="000000"/>
          <w:rtl/>
        </w:rPr>
        <w:t xml:space="preserve">وكان تحسين أنظمة المعلومات الائتمانية </w:t>
      </w:r>
      <w:r w:rsidR="004F790F" w:rsidRPr="001D64F1">
        <w:rPr>
          <w:rFonts w:cs="Simplified Arabic"/>
          <w:color w:val="000000"/>
          <w:rtl/>
        </w:rPr>
        <w:t>من</w:t>
      </w:r>
      <w:r w:rsidR="004F790F">
        <w:rPr>
          <w:rFonts w:cs="Simplified Arabic"/>
          <w:color w:val="000000"/>
        </w:rPr>
        <w:t xml:space="preserve"> </w:t>
      </w:r>
      <w:r w:rsidR="004F790F">
        <w:rPr>
          <w:rFonts w:cs="Simplified Arabic"/>
          <w:color w:val="000000"/>
          <w:rtl/>
        </w:rPr>
        <w:t xml:space="preserve"> الإصلاحات</w:t>
      </w:r>
      <w:r w:rsidR="004F790F" w:rsidDel="004F790F">
        <w:rPr>
          <w:rFonts w:cs="Simplified Arabic"/>
          <w:color w:val="000000"/>
          <w:rtl/>
        </w:rPr>
        <w:t xml:space="preserve"> </w:t>
      </w:r>
      <w:r>
        <w:rPr>
          <w:rFonts w:cs="Simplified Arabic"/>
          <w:color w:val="000000"/>
          <w:rtl/>
        </w:rPr>
        <w:t>الأكثر شيوعاً في المنطقة،</w:t>
      </w:r>
      <w:r w:rsidR="00FE2900">
        <w:rPr>
          <w:rFonts w:cs="Simplified Arabic"/>
          <w:color w:val="000000"/>
        </w:rPr>
        <w:t xml:space="preserve"> </w:t>
      </w:r>
      <w:r w:rsidR="004F790F" w:rsidRPr="001D64F1">
        <w:rPr>
          <w:rFonts w:cs="Simplified Arabic"/>
          <w:color w:val="000000"/>
          <w:rtl/>
        </w:rPr>
        <w:t>الذي تم اجرائه</w:t>
      </w:r>
      <w:r w:rsidR="004F790F">
        <w:rPr>
          <w:rFonts w:cs="Simplified Arabic"/>
          <w:color w:val="000000"/>
        </w:rPr>
        <w:t xml:space="preserve"> </w:t>
      </w:r>
      <w:r w:rsidR="004F790F">
        <w:rPr>
          <w:rFonts w:cs="Simplified Arabic"/>
          <w:color w:val="000000"/>
          <w:rtl/>
        </w:rPr>
        <w:t>في</w:t>
      </w:r>
      <w:r w:rsidR="004F790F">
        <w:rPr>
          <w:rFonts w:cs="Simplified Arabic"/>
          <w:color w:val="000000"/>
        </w:rPr>
        <w:t xml:space="preserve"> </w:t>
      </w:r>
      <w:r>
        <w:rPr>
          <w:rFonts w:cs="Simplified Arabic"/>
          <w:color w:val="000000"/>
          <w:rtl/>
        </w:rPr>
        <w:t>خمسة بلدان هي جمهورية إيران الإسلامية والأردن ولبنان والجمهورية العربية السورية والإمارات العربية المتحدة .</w:t>
      </w:r>
    </w:p>
    <w:p w:rsidR="007F3A31" w:rsidRDefault="007F3A31">
      <w:pPr>
        <w:autoSpaceDE w:val="0"/>
        <w:autoSpaceDN w:val="0"/>
        <w:bidi/>
        <w:adjustRightInd w:val="0"/>
        <w:rPr>
          <w:b/>
          <w:color w:val="000000"/>
        </w:rPr>
      </w:pPr>
    </w:p>
    <w:p w:rsidR="007F3A31" w:rsidRDefault="007F3A31" w:rsidP="00FE2900">
      <w:pPr>
        <w:widowControl w:val="0"/>
        <w:autoSpaceDE w:val="0"/>
        <w:autoSpaceDN w:val="0"/>
        <w:bidi/>
        <w:adjustRightInd w:val="0"/>
        <w:spacing w:after="240"/>
        <w:rPr>
          <w:b/>
          <w:color w:val="000000"/>
        </w:rPr>
      </w:pPr>
      <w:r>
        <w:rPr>
          <w:rFonts w:cs="Simplified Arabic"/>
          <w:color w:val="000000"/>
          <w:rtl/>
        </w:rPr>
        <w:t xml:space="preserve">يُذكر أن حوالي 85 في المائة من بلدان العالم قامت في السنوات الخمس الأخيرة بإدخال ما يبلغ 1511 إصلاحاً على إجراءاتها وتشريعاتها المنظمة لأنشطة الأعمال أدت إلى تسهيل عمل أصحاب </w:t>
      </w:r>
      <w:r w:rsidR="00115C7B" w:rsidRPr="00115C7B">
        <w:rPr>
          <w:rFonts w:cs="Simplified Arabic" w:hint="eastAsia"/>
          <w:i/>
          <w:color w:val="000000"/>
          <w:rtl/>
        </w:rPr>
        <w:t>الأعمال</w:t>
      </w:r>
      <w:r w:rsidR="00CA324E">
        <w:rPr>
          <w:rFonts w:cs="Simplified Arabic"/>
          <w:i/>
          <w:color w:val="000000"/>
        </w:rPr>
        <w:t xml:space="preserve"> </w:t>
      </w:r>
      <w:r>
        <w:rPr>
          <w:rFonts w:cs="Simplified Arabic"/>
          <w:color w:val="000000"/>
          <w:rtl/>
        </w:rPr>
        <w:t xml:space="preserve"> المحليين. </w:t>
      </w:r>
      <w:r>
        <w:rPr>
          <w:rStyle w:val="tw4winMark"/>
          <w:rFonts w:ascii="Times New Roman" w:hAnsi="Times New Roman" w:cs="Simplified Arabic"/>
          <w:color w:val="000000"/>
          <w:rtl/>
        </w:rPr>
        <w:t xml:space="preserve"> </w:t>
      </w:r>
      <w:r>
        <w:rPr>
          <w:rFonts w:cs="Simplified Arabic"/>
          <w:color w:val="000000"/>
          <w:rtl/>
        </w:rPr>
        <w:t>و</w:t>
      </w:r>
      <w:r w:rsidR="00871716" w:rsidDel="00871716">
        <w:rPr>
          <w:rFonts w:cs="Simplified Arabic"/>
          <w:color w:val="000000"/>
          <w:rtl/>
        </w:rPr>
        <w:t xml:space="preserve"> </w:t>
      </w:r>
      <w:r>
        <w:rPr>
          <w:rFonts w:cs="Simplified Arabic"/>
          <w:color w:val="000000"/>
          <w:rtl/>
        </w:rPr>
        <w:t xml:space="preserve"> يقدم تقرير ممارسة أنشطة الأعمال 2011 مقياساً تجريبياً جديداً يوضح حجم التغير الذي طرأ على الإجراءات المنظمة لأنشطة الأعمال في 174 بلداً منذ عام 2005.</w:t>
      </w:r>
      <w:r>
        <w:rPr>
          <w:color w:val="000000"/>
        </w:rPr>
        <w:t xml:space="preserve"> </w:t>
      </w:r>
      <w:r>
        <w:rPr>
          <w:rFonts w:cs="Simplified Arabic"/>
          <w:color w:val="000000"/>
          <w:rtl/>
        </w:rPr>
        <w:t>و</w:t>
      </w:r>
      <w:r w:rsidR="00871716" w:rsidRPr="00847A74">
        <w:rPr>
          <w:rFonts w:cs="Simplified Arabic"/>
          <w:color w:val="000000"/>
          <w:rtl/>
        </w:rPr>
        <w:t>وفقاً</w:t>
      </w:r>
      <w:r w:rsidR="00871716">
        <w:rPr>
          <w:rFonts w:cs="Simplified Arabic"/>
          <w:color w:val="000000"/>
        </w:rPr>
        <w:t xml:space="preserve"> </w:t>
      </w:r>
      <w:r w:rsidR="00871716" w:rsidRPr="00847A74">
        <w:rPr>
          <w:rFonts w:cs="Simplified Arabic"/>
          <w:color w:val="000000"/>
          <w:rtl/>
        </w:rPr>
        <w:t>لل</w:t>
      </w:r>
      <w:r w:rsidR="00871716">
        <w:rPr>
          <w:rFonts w:cs="Simplified Arabic"/>
          <w:color w:val="000000"/>
          <w:rtl/>
        </w:rPr>
        <w:t>مقياس</w:t>
      </w:r>
      <w:r w:rsidR="00871716">
        <w:rPr>
          <w:rFonts w:cs="Simplified Arabic"/>
          <w:color w:val="000000"/>
        </w:rPr>
        <w:t xml:space="preserve"> </w:t>
      </w:r>
      <w:r>
        <w:rPr>
          <w:rFonts w:cs="Simplified Arabic"/>
          <w:color w:val="000000"/>
          <w:rtl/>
        </w:rPr>
        <w:t>الجديد</w:t>
      </w:r>
      <w:r w:rsidR="00871716">
        <w:rPr>
          <w:rFonts w:cs="Simplified Arabic"/>
          <w:color w:val="000000"/>
        </w:rPr>
        <w:t xml:space="preserve"> </w:t>
      </w:r>
      <w:r w:rsidR="00871716" w:rsidRPr="00847A74">
        <w:rPr>
          <w:rFonts w:cs="Simplified Arabic"/>
          <w:color w:val="000000"/>
          <w:rtl/>
        </w:rPr>
        <w:t>هذا</w:t>
      </w:r>
      <w:r w:rsidR="00871716">
        <w:rPr>
          <w:rFonts w:cs="Simplified Arabic"/>
          <w:color w:val="000000"/>
          <w:rtl/>
        </w:rPr>
        <w:t xml:space="preserve">، </w:t>
      </w:r>
      <w:r w:rsidR="00871716">
        <w:rPr>
          <w:rFonts w:cs="Simplified Arabic"/>
          <w:color w:val="000000"/>
        </w:rPr>
        <w:t xml:space="preserve"> </w:t>
      </w:r>
      <w:r w:rsidR="00871716" w:rsidRPr="00847A74">
        <w:rPr>
          <w:rFonts w:cs="Simplified Arabic"/>
          <w:color w:val="000000"/>
          <w:rtl/>
        </w:rPr>
        <w:t>فإن</w:t>
      </w:r>
      <w:r>
        <w:rPr>
          <w:rFonts w:cs="Simplified Arabic"/>
          <w:color w:val="000000"/>
          <w:rtl/>
        </w:rPr>
        <w:t xml:space="preserve"> المملكة العربية السعودية ومصر كانتا ضمن البلدان الخمسة عشر الأكثر نشاطاً وتطبيقاً للإصلاحات على مستوى العالم.</w:t>
      </w:r>
      <w:r w:rsidR="00ED51F5">
        <w:rPr>
          <w:rFonts w:cs="Simplified Arabic"/>
          <w:color w:val="000000"/>
          <w:rtl/>
        </w:rPr>
        <w:t xml:space="preserve"> </w:t>
      </w:r>
    </w:p>
    <w:p w:rsidR="007F3A31" w:rsidRDefault="007F3A31" w:rsidP="00CE4911">
      <w:pPr>
        <w:bidi/>
        <w:rPr>
          <w:color w:val="000000"/>
        </w:rPr>
      </w:pPr>
      <w:r>
        <w:rPr>
          <w:rFonts w:cs="Simplified Arabic"/>
          <w:color w:val="000000"/>
          <w:rtl/>
        </w:rPr>
        <w:t>وقد شمل العديد من إصلاحات الإجراءات الحكومية المنظمة لأنشطة الأعمال التي قامت بها المنطقة العام الماضي أنظمة جديدة في مجال تكنولوجيا المعلومات.</w:t>
      </w:r>
      <w:r w:rsidR="00ED51F5">
        <w:rPr>
          <w:rFonts w:cs="Simplified Arabic"/>
          <w:color w:val="000000"/>
          <w:rtl/>
        </w:rPr>
        <w:t xml:space="preserve"> </w:t>
      </w:r>
      <w:r>
        <w:rPr>
          <w:rFonts w:cs="Simplified Arabic"/>
          <w:color w:val="000000"/>
          <w:rtl/>
        </w:rPr>
        <w:t xml:space="preserve">وتصدرت تونس العالم في مجال تحسين إجراءات دفع الضرائب، حيث اعتمدت </w:t>
      </w:r>
      <w:r>
        <w:rPr>
          <w:rFonts w:cs="Simplified Arabic"/>
          <w:color w:val="000000"/>
          <w:rtl/>
        </w:rPr>
        <w:lastRenderedPageBreak/>
        <w:t xml:space="preserve">أنظمة إلكترونية تتيح إمكانية </w:t>
      </w:r>
      <w:r w:rsidR="00CC0416">
        <w:rPr>
          <w:rFonts w:cs="Simplified Arabic"/>
          <w:color w:val="000000"/>
          <w:rtl/>
        </w:rPr>
        <w:t>ال</w:t>
      </w:r>
      <w:r>
        <w:rPr>
          <w:rFonts w:cs="Simplified Arabic"/>
          <w:color w:val="000000"/>
          <w:rtl/>
        </w:rPr>
        <w:t>سداد من خلال شبكة الإنترنت.</w:t>
      </w:r>
      <w:r w:rsidR="00ED51F5">
        <w:rPr>
          <w:rFonts w:cs="Simplified Arabic"/>
          <w:color w:val="000000"/>
          <w:rtl/>
        </w:rPr>
        <w:t xml:space="preserve"> </w:t>
      </w:r>
      <w:r>
        <w:rPr>
          <w:rFonts w:cs="Simplified Arabic"/>
          <w:color w:val="000000"/>
          <w:rtl/>
        </w:rPr>
        <w:t xml:space="preserve">كما قامت بتحديث نظام التبادل الإلكتروني للبيانات الخاصة بعمليات الاستيراد والتصدير. </w:t>
      </w:r>
    </w:p>
    <w:p w:rsidR="007F3A31" w:rsidRPr="004F790F" w:rsidRDefault="007F3A31">
      <w:pPr>
        <w:bidi/>
        <w:rPr>
          <w:color w:val="000000"/>
        </w:rPr>
      </w:pPr>
    </w:p>
    <w:p w:rsidR="007F3A31" w:rsidRDefault="007F3A31" w:rsidP="00CE5D7A">
      <w:pPr>
        <w:bidi/>
        <w:spacing w:after="240"/>
        <w:rPr>
          <w:color w:val="000000"/>
        </w:rPr>
      </w:pPr>
      <w:r w:rsidRPr="00CE5D7A">
        <w:rPr>
          <w:rFonts w:cs="Simplified Arabic"/>
          <w:color w:val="000000"/>
          <w:rtl/>
        </w:rPr>
        <w:t xml:space="preserve">وفي معرض حديثها عن هذا التقرير، قالت داليا خليفة، وهي أحد المشاركين في إعداد التقرير: " التكنولوجيات الحديثة تشكل ركيزة لأفضل الممارسات الإجرائية في مختلف أنحاء العالم. </w:t>
      </w:r>
      <w:r w:rsidRPr="00CE5D7A">
        <w:rPr>
          <w:rStyle w:val="tw4winMark"/>
          <w:rFonts w:ascii="Times New Roman" w:hAnsi="Times New Roman" w:cs="Simplified Arabic"/>
          <w:color w:val="000000"/>
          <w:rtl/>
        </w:rPr>
        <w:t xml:space="preserve"> </w:t>
      </w:r>
      <w:r w:rsidRPr="00CE5D7A">
        <w:rPr>
          <w:rFonts w:cs="Simplified Arabic"/>
          <w:color w:val="000000"/>
          <w:rtl/>
        </w:rPr>
        <w:t>فالتكنولوجيا تؤدي إلى تسهيل الالتزام بال</w:t>
      </w:r>
      <w:r w:rsidR="00317E2C">
        <w:rPr>
          <w:rFonts w:cs="Simplified Arabic"/>
          <w:color w:val="000000"/>
          <w:rtl/>
        </w:rPr>
        <w:t>إجراءات والتشريعات، وتخفيض التكلفة، وزيادة الشفافية."</w:t>
      </w:r>
      <w:r w:rsidR="00ED51F5">
        <w:rPr>
          <w:rFonts w:cs="Simplified Arabic"/>
          <w:color w:val="000000"/>
          <w:rtl/>
        </w:rPr>
        <w:t xml:space="preserve"> </w:t>
      </w:r>
    </w:p>
    <w:p w:rsidR="007F3A31" w:rsidRDefault="007F3A31" w:rsidP="00CE5D7A">
      <w:pPr>
        <w:bidi/>
        <w:spacing w:after="240"/>
        <w:rPr>
          <w:b/>
          <w:color w:val="000000"/>
        </w:rPr>
      </w:pPr>
      <w:r>
        <w:rPr>
          <w:rFonts w:cs="Simplified Arabic"/>
          <w:color w:val="000000"/>
          <w:rtl/>
        </w:rPr>
        <w:t>وقد ركزت المملكة العربية السعودية، التي تقود المنطقة من حيث سهولة أنشطة الأعمال بصفة عامة (تحتل المرتبة الحادية عشرة من بين 183 بلداً على مستوى العالم)، على أربعة من مجالات الإجراءات الحكومية المنظمة لأنشطة الأعمال بالنسبة للشركات المحلية في العام الماضي.</w:t>
      </w:r>
      <w:r w:rsidR="00ED51F5">
        <w:rPr>
          <w:rFonts w:cs="Simplified Arabic"/>
          <w:color w:val="000000"/>
          <w:rtl/>
        </w:rPr>
        <w:t xml:space="preserve"> </w:t>
      </w:r>
      <w:r>
        <w:rPr>
          <w:rFonts w:cs="Simplified Arabic"/>
          <w:color w:val="000000"/>
          <w:rtl/>
        </w:rPr>
        <w:t xml:space="preserve">إذ اعتمدت إجراءات مبسطة وسريعة لاستخراج تراخيص البناء، وافتتحت محطة حاويات جديدة في ميناء جدة الإسلامي، وعززت مرونة الإقراض المكفول بضمانات، وسرّعت إجراءات الإعسار عن طريق تسهيل التوصل إلى تسويات ودية في وقت مبكر. </w:t>
      </w:r>
    </w:p>
    <w:p w:rsidR="007F3A31" w:rsidRDefault="007F3A31" w:rsidP="00CE5D7A">
      <w:pPr>
        <w:bidi/>
        <w:spacing w:after="240"/>
        <w:rPr>
          <w:color w:val="000000"/>
        </w:rPr>
      </w:pPr>
      <w:r>
        <w:rPr>
          <w:rFonts w:cs="Simplified Arabic"/>
          <w:color w:val="000000"/>
          <w:rtl/>
        </w:rPr>
        <w:t xml:space="preserve">وواصلت مصر تحسين ترتيبها في التصنيف العالمي على أساس سهولة ممارسة أنشطة الأعمال، حيث تقدمت خمس مراتب عن العام الماضي لتحتل المركز 94 هذا العام. </w:t>
      </w:r>
      <w:r>
        <w:rPr>
          <w:rStyle w:val="tw4winMark"/>
          <w:rFonts w:ascii="Times New Roman" w:hAnsi="Times New Roman" w:cs="Simplified Arabic"/>
          <w:color w:val="000000"/>
          <w:rtl/>
        </w:rPr>
        <w:t xml:space="preserve"> </w:t>
      </w:r>
      <w:r>
        <w:rPr>
          <w:rFonts w:cs="Simplified Arabic"/>
          <w:color w:val="000000"/>
          <w:rtl/>
        </w:rPr>
        <w:t>وفي العام الماضي، قامت مصرباعتماد نظام إلكتروني لتقديم مستندات التصدير والاستيراد إلى مصلحة الجمارك، مما أدى إلى تسهيل التجارة عبر الحدود.</w:t>
      </w:r>
      <w:r>
        <w:rPr>
          <w:color w:val="000000"/>
        </w:rPr>
        <w:t xml:space="preserve"> </w:t>
      </w:r>
      <w:r>
        <w:rPr>
          <w:rFonts w:cs="Simplified Arabic"/>
          <w:color w:val="000000"/>
          <w:rtl/>
        </w:rPr>
        <w:t xml:space="preserve">كما قامت في الوقت نفسه بتخفيض التكلفة اللازمة لتأسيس الشركات وبدء النشاط التجاري. </w:t>
      </w:r>
    </w:p>
    <w:p w:rsidR="00CE5D7A" w:rsidRDefault="007F3A31" w:rsidP="00CE5D7A">
      <w:pPr>
        <w:bidi/>
        <w:rPr>
          <w:color w:val="000000"/>
        </w:rPr>
      </w:pPr>
      <w:r>
        <w:rPr>
          <w:rFonts w:cs="Simplified Arabic"/>
          <w:color w:val="000000"/>
          <w:rtl/>
        </w:rPr>
        <w:t>تجدر الإشارة إلى أن تقرير ممارسة أنشطة الأعمال يقوم بتحليل الإجراءات الحكومية المطبقة على منشآت الأعمال في أحد البلدان أثناء مختلف مراحل عملها. ومن بين المجالات التي يشملها: بدء النشاط التجاري (تأسيس الشركات وتشغيلها)، والتجارة عبر الحدود، ودفع الضرائب، وتصفية النشاط التجاري.</w:t>
      </w:r>
      <w:r>
        <w:rPr>
          <w:b/>
          <w:color w:val="000000"/>
        </w:rPr>
        <w:t xml:space="preserve"> </w:t>
      </w:r>
      <w:r>
        <w:rPr>
          <w:rFonts w:cs="Simplified Arabic"/>
          <w:color w:val="000000"/>
          <w:rtl/>
        </w:rPr>
        <w:t>ولا يقيس التقرير بيئة أنشطة الأعمال من سائر جوانبها التي تهم الشركات والمستثمرين</w:t>
      </w:r>
      <w:r>
        <w:rPr>
          <w:color w:val="000000"/>
        </w:rPr>
        <w:t xml:space="preserve"> . </w:t>
      </w:r>
      <w:r>
        <w:rPr>
          <w:rFonts w:cs="Simplified Arabic"/>
          <w:color w:val="000000"/>
          <w:rtl/>
        </w:rPr>
        <w:t>فعلى سبيل المثال، لا يقيس التقرير العوامل المتعلقة بالأوضاع الأمنية، أو استقرار الاقتصاد الكلي، أو الفساد، أو مستوى مهارات القوى العاملة، أو متانة الأنظمة المالية.</w:t>
      </w:r>
      <w:r>
        <w:rPr>
          <w:b/>
          <w:color w:val="000000"/>
        </w:rPr>
        <w:t xml:space="preserve"> </w:t>
      </w:r>
      <w:r>
        <w:rPr>
          <w:rFonts w:cs="Simplified Arabic"/>
          <w:color w:val="000000"/>
          <w:rtl/>
        </w:rPr>
        <w:t>وقد أدت النتائج التي توصل إليها التقرير إلى إثراء الحوار والنقاش على صعيد السياسات في أكثر من 80 بلدا وإتاحة مجموعة متنامية من الأبحاث المعنية بكيفية ارتباط الإجراءات الحكومية الخاصة بالشركات من جهة بالنواتج الاقتصادية المحققة في البلدان من جهة أخرى.</w:t>
      </w:r>
      <w:r w:rsidR="00CE5D7A">
        <w:rPr>
          <w:rFonts w:cs="Simplified Arabic" w:hint="cs"/>
          <w:color w:val="000000"/>
          <w:rtl/>
        </w:rPr>
        <w:t xml:space="preserve"> </w:t>
      </w:r>
      <w:r w:rsidR="00CE5D7A">
        <w:rPr>
          <w:rFonts w:cs="Simplified Arabic"/>
          <w:color w:val="000000"/>
          <w:rtl/>
        </w:rPr>
        <w:t xml:space="preserve">. </w:t>
      </w:r>
      <w:r w:rsidR="00CE5D7A">
        <w:rPr>
          <w:rFonts w:cs="Simplified Arabic" w:hint="cs"/>
          <w:color w:val="000000"/>
          <w:rtl/>
        </w:rPr>
        <w:t>للمزيد</w:t>
      </w:r>
      <w:r w:rsidR="00CE5D7A">
        <w:rPr>
          <w:rFonts w:cs="Simplified Arabic"/>
          <w:color w:val="000000"/>
          <w:rtl/>
        </w:rPr>
        <w:t xml:space="preserve"> من المعلومات عن سلسلة تقرير ممارسة أنشطة الأعمال، يُرجى زيارة الموقع:</w:t>
      </w:r>
      <w:r w:rsidR="00CE5D7A">
        <w:rPr>
          <w:color w:val="000000"/>
        </w:rPr>
        <w:t xml:space="preserve"> www.doingbusiness.org </w:t>
      </w:r>
    </w:p>
    <w:p w:rsidR="007F3A31" w:rsidRDefault="007F3A31">
      <w:pPr>
        <w:autoSpaceDE w:val="0"/>
        <w:autoSpaceDN w:val="0"/>
        <w:bidi/>
        <w:adjustRightInd w:val="0"/>
        <w:rPr>
          <w:rFonts w:cs="Simplified Arabic"/>
          <w:bCs/>
          <w:color w:val="000000"/>
          <w:rtl/>
        </w:rPr>
      </w:pPr>
      <w:r>
        <w:rPr>
          <w:rFonts w:cs="Simplified Arabic"/>
          <w:bCs/>
          <w:color w:val="000000"/>
          <w:rtl/>
        </w:rPr>
        <w:t>نبذة عن مجموعة البنك الدولي</w:t>
      </w:r>
    </w:p>
    <w:p w:rsidR="00CE5D7A" w:rsidRDefault="00CE5D7A" w:rsidP="00CE5D7A">
      <w:pPr>
        <w:autoSpaceDE w:val="0"/>
        <w:autoSpaceDN w:val="0"/>
        <w:bidi/>
        <w:adjustRightInd w:val="0"/>
        <w:rPr>
          <w:rFonts w:cs="Simplified Arabic"/>
          <w:bCs/>
          <w:color w:val="000000"/>
        </w:rPr>
      </w:pPr>
    </w:p>
    <w:p w:rsidR="007F3A31" w:rsidRDefault="007F3A31">
      <w:pPr>
        <w:bidi/>
        <w:rPr>
          <w:color w:val="000000"/>
        </w:rPr>
      </w:pPr>
      <w:r>
        <w:rPr>
          <w:rFonts w:cs="Simplified Arabic"/>
          <w:color w:val="000000"/>
          <w:rtl/>
        </w:rPr>
        <w:t>مجموعة البنك الدولي هي أحد أكبر مصادر التمويل والمعرفة في العالم للبلدان النامية.</w:t>
      </w:r>
      <w:r>
        <w:rPr>
          <w:color w:val="000000"/>
        </w:rPr>
        <w:t xml:space="preserve"> </w:t>
      </w:r>
      <w:r>
        <w:rPr>
          <w:rFonts w:cs="Simplified Arabic"/>
          <w:color w:val="000000"/>
          <w:rtl/>
        </w:rPr>
        <w:t>وتتألف المجموعة من خمس مؤسسات مترابطة، هي: البنك الدولي للإنشاء والتعمير (</w:t>
      </w:r>
      <w:r>
        <w:rPr>
          <w:rFonts w:ascii="Arial" w:hAnsi="Arial"/>
          <w:color w:val="000000"/>
        </w:rPr>
        <w:t>IBRD</w:t>
      </w:r>
      <w:r>
        <w:rPr>
          <w:rFonts w:cs="Simplified Arabic"/>
          <w:color w:val="000000"/>
          <w:rtl/>
        </w:rPr>
        <w:t>)، والمؤسسة الدولية للتنمية (</w:t>
      </w:r>
      <w:r>
        <w:rPr>
          <w:rFonts w:ascii="Arial" w:hAnsi="Arial"/>
          <w:color w:val="000000"/>
        </w:rPr>
        <w:t>IDA</w:t>
      </w:r>
      <w:r>
        <w:rPr>
          <w:rFonts w:cs="Simplified Arabic"/>
          <w:color w:val="000000"/>
          <w:rtl/>
        </w:rPr>
        <w:t>)، ومؤسسة التمويل الدولية (</w:t>
      </w:r>
      <w:r>
        <w:rPr>
          <w:rFonts w:ascii="Arial" w:hAnsi="Arial"/>
          <w:color w:val="000000"/>
        </w:rPr>
        <w:t>IFC</w:t>
      </w:r>
      <w:r>
        <w:rPr>
          <w:rFonts w:cs="Simplified Arabic"/>
          <w:color w:val="000000"/>
          <w:rtl/>
        </w:rPr>
        <w:t>)، والوكالة الدولية لضمان الاستثمار (</w:t>
      </w:r>
      <w:r>
        <w:rPr>
          <w:rFonts w:ascii="Arial" w:hAnsi="Arial"/>
          <w:color w:val="000000"/>
        </w:rPr>
        <w:t>MIGA</w:t>
      </w:r>
      <w:r>
        <w:rPr>
          <w:rFonts w:cs="Simplified Arabic"/>
          <w:color w:val="000000"/>
          <w:rtl/>
        </w:rPr>
        <w:t>)، والمركز الدولي لتسوية منازعات الاستثمار (</w:t>
      </w:r>
      <w:r>
        <w:rPr>
          <w:rFonts w:ascii="Arial" w:hAnsi="Arial"/>
          <w:color w:val="000000"/>
        </w:rPr>
        <w:t>ICSID</w:t>
      </w:r>
      <w:r>
        <w:rPr>
          <w:rFonts w:cs="Simplified Arabic"/>
          <w:color w:val="000000"/>
          <w:rtl/>
        </w:rPr>
        <w:t>).</w:t>
      </w:r>
      <w:r w:rsidR="00ED51F5">
        <w:rPr>
          <w:color w:val="000000"/>
          <w:rtl/>
        </w:rPr>
        <w:t xml:space="preserve"> </w:t>
      </w:r>
      <w:r>
        <w:rPr>
          <w:rFonts w:cs="Simplified Arabic"/>
          <w:color w:val="000000"/>
          <w:rtl/>
        </w:rPr>
        <w:t>وتلعب كل واحدة من هذه المؤسسات دوراً مميزاً في تحقيق رسالة مجموعة البنك المتعلقة بمكافحة الفقر وتحسين مستويات معيشة الناس في البلدان النامية.</w:t>
      </w:r>
      <w:r w:rsidR="00ED51F5">
        <w:rPr>
          <w:rFonts w:cs="Simplified Arabic"/>
          <w:color w:val="000000"/>
          <w:rtl/>
        </w:rPr>
        <w:t xml:space="preserve"> </w:t>
      </w:r>
      <w:r>
        <w:rPr>
          <w:rFonts w:cs="Simplified Arabic"/>
          <w:color w:val="000000"/>
          <w:rtl/>
        </w:rPr>
        <w:t xml:space="preserve">للمزيد من المعلومات يرجى زيارة هذه المواقع على شبكة الإنترنت: </w:t>
      </w:r>
      <w:r w:rsidR="00A167A9">
        <w:fldChar w:fldCharType="begin"/>
      </w:r>
      <w:r w:rsidR="00A167A9">
        <w:instrText>HYPERLINK "http://www.worldbank.org"</w:instrText>
      </w:r>
      <w:r w:rsidR="00A167A9">
        <w:fldChar w:fldCharType="separate"/>
      </w:r>
      <w:r>
        <w:rPr>
          <w:rStyle w:val="Hyperlink"/>
          <w:rFonts w:ascii="Arial" w:hAnsi="Arial"/>
        </w:rPr>
        <w:t>www.worldbank.org</w:t>
      </w:r>
      <w:r w:rsidR="00A167A9">
        <w:fldChar w:fldCharType="end"/>
      </w:r>
      <w:r>
        <w:rPr>
          <w:rFonts w:cs="Simplified Arabic"/>
          <w:color w:val="000000"/>
          <w:rtl/>
        </w:rPr>
        <w:t xml:space="preserve">، </w:t>
      </w:r>
      <w:r w:rsidR="00A167A9">
        <w:fldChar w:fldCharType="begin"/>
      </w:r>
      <w:r w:rsidR="00A167A9">
        <w:instrText>HYPERLINK "http://www.miga.org"</w:instrText>
      </w:r>
      <w:r w:rsidR="00A167A9">
        <w:fldChar w:fldCharType="separate"/>
      </w:r>
      <w:r>
        <w:rPr>
          <w:rStyle w:val="Hyperlink"/>
          <w:rFonts w:ascii="Arial" w:hAnsi="Arial"/>
        </w:rPr>
        <w:t>www.miga.org</w:t>
      </w:r>
      <w:r w:rsidR="00A167A9">
        <w:fldChar w:fldCharType="end"/>
      </w:r>
      <w:r>
        <w:rPr>
          <w:rFonts w:cs="Simplified Arabic"/>
          <w:color w:val="000000"/>
          <w:rtl/>
        </w:rPr>
        <w:t>،</w:t>
      </w:r>
      <w:r w:rsidR="00ED51F5">
        <w:rPr>
          <w:rFonts w:cs="Simplified Arabic"/>
          <w:color w:val="000000"/>
          <w:rtl/>
        </w:rPr>
        <w:t xml:space="preserve"> </w:t>
      </w:r>
      <w:hyperlink r:id="rId9" w:history="1">
        <w:r>
          <w:rPr>
            <w:rStyle w:val="Hyperlink"/>
            <w:rFonts w:ascii="Arial" w:hAnsi="Arial"/>
          </w:rPr>
          <w:t>www.ifc.org</w:t>
        </w:r>
      </w:hyperlink>
      <w:r>
        <w:rPr>
          <w:rFonts w:cs="Simplified Arabic"/>
          <w:color w:val="000000"/>
          <w:rtl/>
        </w:rPr>
        <w:t xml:space="preserve">. </w:t>
      </w:r>
    </w:p>
    <w:p w:rsidR="007F3A31" w:rsidRDefault="007F3A31">
      <w:pPr>
        <w:bidi/>
        <w:rPr>
          <w:color w:val="000000"/>
        </w:rPr>
      </w:pPr>
    </w:p>
    <w:p w:rsidR="007F3A31" w:rsidRDefault="007F3A31">
      <w:pPr>
        <w:bidi/>
        <w:rPr>
          <w:color w:val="000000"/>
        </w:rPr>
      </w:pPr>
    </w:p>
    <w:p w:rsidR="007F3A31" w:rsidRDefault="007F3A31">
      <w:pPr>
        <w:bidi/>
        <w:spacing w:after="240"/>
        <w:jc w:val="both"/>
        <w:rPr>
          <w:b/>
          <w:color w:val="000000"/>
        </w:rPr>
      </w:pPr>
      <w:r>
        <w:rPr>
          <w:rFonts w:cs="Simplified Arabic"/>
          <w:bCs/>
          <w:color w:val="000000"/>
          <w:rtl/>
        </w:rPr>
        <w:lastRenderedPageBreak/>
        <w:t>للمزيد من المعلومات عن تقرير ممارسة أنشطة الأعمال 2011، يُرجى الاتصال بـ:</w:t>
      </w:r>
    </w:p>
    <w:p w:rsidR="007F3A31" w:rsidRDefault="007F3A31">
      <w:pPr>
        <w:autoSpaceDE w:val="0"/>
        <w:autoSpaceDN w:val="0"/>
        <w:bidi/>
        <w:adjustRightInd w:val="0"/>
        <w:spacing w:line="240" w:lineRule="atLeast"/>
        <w:jc w:val="both"/>
        <w:rPr>
          <w:color w:val="000000"/>
          <w:lang w:val="it-IT"/>
        </w:rPr>
      </w:pPr>
      <w:r>
        <w:rPr>
          <w:rFonts w:cs="Simplified Arabic"/>
          <w:color w:val="000000"/>
          <w:rtl/>
        </w:rPr>
        <w:t>نادين غنام (</w:t>
      </w:r>
      <w:r>
        <w:rPr>
          <w:color w:val="000000"/>
        </w:rPr>
        <w:t xml:space="preserve">Nadine </w:t>
      </w:r>
      <w:proofErr w:type="spellStart"/>
      <w:r>
        <w:rPr>
          <w:color w:val="000000"/>
        </w:rPr>
        <w:t>Ghannam</w:t>
      </w:r>
      <w:proofErr w:type="spellEnd"/>
      <w:r>
        <w:rPr>
          <w:rFonts w:cs="Simplified Arabic"/>
          <w:color w:val="000000"/>
          <w:rtl/>
        </w:rPr>
        <w:t>)، هاتف:</w:t>
      </w:r>
      <w:r>
        <w:rPr>
          <w:color w:val="000000"/>
          <w:lang w:val="it-IT"/>
        </w:rPr>
        <w:tab/>
      </w:r>
      <w:r>
        <w:rPr>
          <w:color w:val="000000"/>
          <w:lang w:val="it-IT"/>
        </w:rPr>
        <w:tab/>
      </w:r>
      <w:r>
        <w:rPr>
          <w:color w:val="000000"/>
          <w:lang w:val="it-IT"/>
        </w:rPr>
        <w:tab/>
      </w:r>
      <w:r>
        <w:rPr>
          <w:color w:val="000000"/>
          <w:lang w:val="it-IT"/>
        </w:rPr>
        <w:tab/>
      </w:r>
    </w:p>
    <w:p w:rsidR="007F3A31" w:rsidRDefault="007F3A31">
      <w:pPr>
        <w:autoSpaceDE w:val="0"/>
        <w:autoSpaceDN w:val="0"/>
        <w:bidi/>
        <w:adjustRightInd w:val="0"/>
        <w:spacing w:line="240" w:lineRule="atLeast"/>
        <w:jc w:val="both"/>
        <w:rPr>
          <w:color w:val="000000"/>
          <w:lang w:val="it-IT"/>
        </w:rPr>
      </w:pPr>
      <w:r>
        <w:rPr>
          <w:rFonts w:cs="Simplified Arabic" w:hint="cs"/>
          <w:color w:val="000000"/>
          <w:rtl/>
        </w:rPr>
        <w:t>بريد</w:t>
      </w:r>
      <w:r>
        <w:rPr>
          <w:rFonts w:cs="Simplified Arabic"/>
          <w:color w:val="000000"/>
          <w:rtl/>
        </w:rPr>
        <w:t xml:space="preserve"> إلكتروني:</w:t>
      </w:r>
      <w:r w:rsidR="00ED51F5">
        <w:rPr>
          <w:rFonts w:cs="Simplified Arabic"/>
          <w:color w:val="000000"/>
          <w:rtl/>
        </w:rPr>
        <w:t xml:space="preserve"> </w:t>
      </w:r>
      <w:r>
        <w:rPr>
          <w:color w:val="000000"/>
        </w:rPr>
        <w:t>nsghannam@ifc.org</w:t>
      </w:r>
      <w:r>
        <w:rPr>
          <w:color w:val="000000"/>
          <w:lang w:val="it-IT"/>
        </w:rPr>
        <w:tab/>
      </w:r>
      <w:r>
        <w:rPr>
          <w:color w:val="000000"/>
          <w:lang w:val="it-IT"/>
        </w:rPr>
        <w:tab/>
      </w:r>
      <w:r>
        <w:rPr>
          <w:color w:val="000000"/>
          <w:lang w:val="it-IT"/>
        </w:rPr>
        <w:tab/>
      </w:r>
      <w:r>
        <w:rPr>
          <w:color w:val="000000"/>
          <w:lang w:val="it-IT"/>
        </w:rPr>
        <w:tab/>
      </w:r>
    </w:p>
    <w:p w:rsidR="007F3A31" w:rsidRDefault="007F3A31">
      <w:pPr>
        <w:autoSpaceDE w:val="0"/>
        <w:autoSpaceDN w:val="0"/>
        <w:bidi/>
        <w:adjustRightInd w:val="0"/>
        <w:spacing w:line="240" w:lineRule="atLeast"/>
        <w:rPr>
          <w:b/>
          <w:color w:val="000000"/>
          <w:lang w:val="it-IT"/>
        </w:rPr>
      </w:pPr>
    </w:p>
    <w:p w:rsidR="007F3A31" w:rsidRDefault="007F3A31">
      <w:pPr>
        <w:autoSpaceDE w:val="0"/>
        <w:autoSpaceDN w:val="0"/>
        <w:bidi/>
        <w:adjustRightInd w:val="0"/>
        <w:spacing w:line="240" w:lineRule="atLeast"/>
        <w:jc w:val="both"/>
        <w:rPr>
          <w:b/>
          <w:color w:val="000000"/>
        </w:rPr>
      </w:pPr>
      <w:r>
        <w:rPr>
          <w:rFonts w:cs="Simplified Arabic"/>
          <w:bCs/>
          <w:color w:val="000000"/>
          <w:rtl/>
        </w:rPr>
        <w:t>ولتوجيه استفساراتكم الخاصة بالمنطقة في تقرير ممارسة أنشطة الأعمال 2011، يُرجى الاتصال بـ:</w:t>
      </w:r>
    </w:p>
    <w:p w:rsidR="007F3A31" w:rsidRDefault="007F3A31">
      <w:pPr>
        <w:bidi/>
        <w:rPr>
          <w:color w:val="000000"/>
        </w:rPr>
      </w:pPr>
    </w:p>
    <w:p w:rsidR="007F3A31" w:rsidRDefault="007F3A31">
      <w:pPr>
        <w:autoSpaceDE w:val="0"/>
        <w:autoSpaceDN w:val="0"/>
        <w:bidi/>
        <w:adjustRightInd w:val="0"/>
        <w:rPr>
          <w:rFonts w:cs="Simplified Arabic"/>
          <w:bCs/>
          <w:color w:val="000000"/>
          <w:rtl/>
        </w:rPr>
      </w:pPr>
      <w:r>
        <w:rPr>
          <w:rFonts w:cs="Simplified Arabic"/>
          <w:bCs/>
          <w:color w:val="000000"/>
          <w:rtl/>
        </w:rPr>
        <w:t>منطقة الشرق الأوسط وشمال أفريقيا</w:t>
      </w:r>
    </w:p>
    <w:p w:rsidR="007F3A31" w:rsidRDefault="007F3A31">
      <w:pPr>
        <w:autoSpaceDE w:val="0"/>
        <w:autoSpaceDN w:val="0"/>
        <w:bidi/>
        <w:adjustRightInd w:val="0"/>
        <w:rPr>
          <w:color w:val="000000"/>
        </w:rPr>
      </w:pPr>
      <w:r>
        <w:rPr>
          <w:rFonts w:cs="Simplified Arabic"/>
          <w:color w:val="000000"/>
          <w:rtl/>
        </w:rPr>
        <w:t>ريهام مصطفى (</w:t>
      </w:r>
      <w:proofErr w:type="spellStart"/>
      <w:r>
        <w:rPr>
          <w:rFonts w:ascii="Simplified Arabic" w:hAnsi="Simplified Arabic"/>
          <w:color w:val="000000"/>
        </w:rPr>
        <w:t>Riham</w:t>
      </w:r>
      <w:proofErr w:type="spellEnd"/>
      <w:r>
        <w:rPr>
          <w:rFonts w:ascii="Simplified Arabic" w:hAnsi="Simplified Arabic"/>
          <w:color w:val="000000"/>
        </w:rPr>
        <w:t xml:space="preserve"> Mustafa</w:t>
      </w:r>
      <w:r>
        <w:rPr>
          <w:rFonts w:cs="Simplified Arabic"/>
          <w:color w:val="000000"/>
          <w:rtl/>
        </w:rPr>
        <w:t xml:space="preserve">)، هاتف: </w:t>
      </w:r>
      <w:r>
        <w:rPr>
          <w:color w:val="000000"/>
        </w:rPr>
        <w:t>+202 (2) 4691-4230</w:t>
      </w:r>
    </w:p>
    <w:p w:rsidR="007F3A31" w:rsidRDefault="007F3A31">
      <w:pPr>
        <w:autoSpaceDE w:val="0"/>
        <w:autoSpaceDN w:val="0"/>
        <w:bidi/>
        <w:adjustRightInd w:val="0"/>
        <w:spacing w:line="240" w:lineRule="atLeast"/>
        <w:rPr>
          <w:color w:val="000000"/>
          <w:lang w:val="it-IT"/>
        </w:rPr>
      </w:pPr>
      <w:r>
        <w:rPr>
          <w:rFonts w:cs="Simplified Arabic" w:hint="cs"/>
          <w:color w:val="000000"/>
          <w:rtl/>
        </w:rPr>
        <w:t>بريد</w:t>
      </w:r>
      <w:r>
        <w:rPr>
          <w:rFonts w:cs="Simplified Arabic"/>
          <w:color w:val="000000"/>
          <w:rtl/>
        </w:rPr>
        <w:t xml:space="preserve"> إلكتروني:</w:t>
      </w:r>
      <w:r w:rsidR="00ED51F5">
        <w:rPr>
          <w:rFonts w:cs="Simplified Arabic"/>
          <w:color w:val="000000"/>
          <w:rtl/>
        </w:rPr>
        <w:t xml:space="preserve"> </w:t>
      </w:r>
      <w:r>
        <w:rPr>
          <w:color w:val="000000"/>
        </w:rPr>
        <w:t>rmustafa@ifc.org</w:t>
      </w:r>
    </w:p>
    <w:p w:rsidR="007F3A31" w:rsidRDefault="007F3A31">
      <w:pPr>
        <w:bidi/>
        <w:rPr>
          <w:color w:val="000000"/>
          <w:lang w:val="it-IT"/>
        </w:rPr>
      </w:pPr>
    </w:p>
    <w:sectPr w:rsidR="007F3A31" w:rsidSect="00317E2C">
      <w:footerReference w:type="even"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E1C" w:rsidRDefault="00D86E1C">
      <w:r>
        <w:separator/>
      </w:r>
    </w:p>
  </w:endnote>
  <w:endnote w:type="continuationSeparator" w:id="0">
    <w:p w:rsidR="00D86E1C" w:rsidRDefault="00D86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F5" w:rsidRDefault="00A167A9" w:rsidP="007F7F9B">
    <w:pPr>
      <w:pStyle w:val="Footer"/>
      <w:framePr w:wrap="around" w:vAnchor="text" w:hAnchor="margin" w:xAlign="center" w:y="1"/>
      <w:rPr>
        <w:rStyle w:val="PageNumber"/>
      </w:rPr>
    </w:pPr>
    <w:r>
      <w:rPr>
        <w:rStyle w:val="PageNumber"/>
      </w:rPr>
      <w:fldChar w:fldCharType="begin"/>
    </w:r>
    <w:r w:rsidR="00ED51F5">
      <w:rPr>
        <w:rStyle w:val="PageNumber"/>
      </w:rPr>
      <w:instrText xml:space="preserve">PAGE  </w:instrText>
    </w:r>
    <w:r>
      <w:rPr>
        <w:rStyle w:val="PageNumber"/>
      </w:rPr>
      <w:fldChar w:fldCharType="end"/>
    </w:r>
  </w:p>
  <w:p w:rsidR="00ED51F5" w:rsidRDefault="00ED51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F5" w:rsidRDefault="00A167A9" w:rsidP="007F7F9B">
    <w:pPr>
      <w:pStyle w:val="Footer"/>
      <w:framePr w:wrap="around" w:vAnchor="text" w:hAnchor="margin" w:xAlign="center" w:y="1"/>
      <w:rPr>
        <w:rStyle w:val="PageNumber"/>
      </w:rPr>
    </w:pPr>
    <w:r>
      <w:rPr>
        <w:rStyle w:val="PageNumber"/>
      </w:rPr>
      <w:fldChar w:fldCharType="begin"/>
    </w:r>
    <w:r w:rsidR="00ED51F5">
      <w:rPr>
        <w:rStyle w:val="PageNumber"/>
      </w:rPr>
      <w:instrText xml:space="preserve">PAGE  </w:instrText>
    </w:r>
    <w:r>
      <w:rPr>
        <w:rStyle w:val="PageNumber"/>
      </w:rPr>
      <w:fldChar w:fldCharType="separate"/>
    </w:r>
    <w:r w:rsidR="00CE64FF">
      <w:rPr>
        <w:rStyle w:val="PageNumber"/>
        <w:noProof/>
      </w:rPr>
      <w:t>1</w:t>
    </w:r>
    <w:r>
      <w:rPr>
        <w:rStyle w:val="PageNumber"/>
      </w:rPr>
      <w:fldChar w:fldCharType="end"/>
    </w:r>
  </w:p>
  <w:p w:rsidR="00ED51F5" w:rsidRDefault="00ED5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E1C" w:rsidRDefault="00D86E1C">
      <w:r>
        <w:separator/>
      </w:r>
    </w:p>
  </w:footnote>
  <w:footnote w:type="continuationSeparator" w:id="0">
    <w:p w:rsidR="00D86E1C" w:rsidRDefault="00D86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7508C"/>
    <w:multiLevelType w:val="hybridMultilevel"/>
    <w:tmpl w:val="9AC0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7385"/>
    <w:rsid w:val="0000351C"/>
    <w:rsid w:val="00013950"/>
    <w:rsid w:val="0003428D"/>
    <w:rsid w:val="00035D53"/>
    <w:rsid w:val="000461F2"/>
    <w:rsid w:val="000556A8"/>
    <w:rsid w:val="00061593"/>
    <w:rsid w:val="0006607D"/>
    <w:rsid w:val="00080B33"/>
    <w:rsid w:val="000A121A"/>
    <w:rsid w:val="000A4427"/>
    <w:rsid w:val="000A6900"/>
    <w:rsid w:val="000B15B6"/>
    <w:rsid w:val="000C0BDA"/>
    <w:rsid w:val="000C34D9"/>
    <w:rsid w:val="000D14B9"/>
    <w:rsid w:val="000D5E0C"/>
    <w:rsid w:val="000D633A"/>
    <w:rsid w:val="000E177B"/>
    <w:rsid w:val="001001C2"/>
    <w:rsid w:val="00105813"/>
    <w:rsid w:val="00115C7B"/>
    <w:rsid w:val="001220B7"/>
    <w:rsid w:val="00131A13"/>
    <w:rsid w:val="001365F0"/>
    <w:rsid w:val="001548E6"/>
    <w:rsid w:val="00156E69"/>
    <w:rsid w:val="00162BB5"/>
    <w:rsid w:val="001742BE"/>
    <w:rsid w:val="0018461E"/>
    <w:rsid w:val="00185483"/>
    <w:rsid w:val="001858EB"/>
    <w:rsid w:val="00190B76"/>
    <w:rsid w:val="001A262C"/>
    <w:rsid w:val="001B05AD"/>
    <w:rsid w:val="001B2B8F"/>
    <w:rsid w:val="001C11AF"/>
    <w:rsid w:val="001D072C"/>
    <w:rsid w:val="001D38B1"/>
    <w:rsid w:val="001F7A51"/>
    <w:rsid w:val="0020525C"/>
    <w:rsid w:val="002117DB"/>
    <w:rsid w:val="00221CF2"/>
    <w:rsid w:val="002419F5"/>
    <w:rsid w:val="00246C3A"/>
    <w:rsid w:val="00253991"/>
    <w:rsid w:val="00266A4B"/>
    <w:rsid w:val="0027325F"/>
    <w:rsid w:val="00274564"/>
    <w:rsid w:val="002A171F"/>
    <w:rsid w:val="002A4F21"/>
    <w:rsid w:val="002B0430"/>
    <w:rsid w:val="002B19AD"/>
    <w:rsid w:val="002B1B9D"/>
    <w:rsid w:val="002B360B"/>
    <w:rsid w:val="002B410B"/>
    <w:rsid w:val="002C0889"/>
    <w:rsid w:val="002C41B4"/>
    <w:rsid w:val="002D1C90"/>
    <w:rsid w:val="002D362C"/>
    <w:rsid w:val="002E46E0"/>
    <w:rsid w:val="002F7EF9"/>
    <w:rsid w:val="00302D90"/>
    <w:rsid w:val="00317E2C"/>
    <w:rsid w:val="00332697"/>
    <w:rsid w:val="0034348B"/>
    <w:rsid w:val="003667AF"/>
    <w:rsid w:val="003667B3"/>
    <w:rsid w:val="00375178"/>
    <w:rsid w:val="003906FF"/>
    <w:rsid w:val="003924A2"/>
    <w:rsid w:val="00394426"/>
    <w:rsid w:val="003A5640"/>
    <w:rsid w:val="003C4D8A"/>
    <w:rsid w:val="003D4671"/>
    <w:rsid w:val="003E5DF5"/>
    <w:rsid w:val="003F06B0"/>
    <w:rsid w:val="003F3571"/>
    <w:rsid w:val="003F3A9E"/>
    <w:rsid w:val="003F7838"/>
    <w:rsid w:val="004070C8"/>
    <w:rsid w:val="00415D26"/>
    <w:rsid w:val="00423B6E"/>
    <w:rsid w:val="00436EAD"/>
    <w:rsid w:val="004443D4"/>
    <w:rsid w:val="00452BA0"/>
    <w:rsid w:val="00474684"/>
    <w:rsid w:val="004936CF"/>
    <w:rsid w:val="00496DC7"/>
    <w:rsid w:val="004A6C8D"/>
    <w:rsid w:val="004C0B88"/>
    <w:rsid w:val="004C718B"/>
    <w:rsid w:val="004D060A"/>
    <w:rsid w:val="004D731D"/>
    <w:rsid w:val="004F139D"/>
    <w:rsid w:val="004F1F1E"/>
    <w:rsid w:val="004F790F"/>
    <w:rsid w:val="00500F21"/>
    <w:rsid w:val="00503AAE"/>
    <w:rsid w:val="00511E2F"/>
    <w:rsid w:val="005204B5"/>
    <w:rsid w:val="00524BA6"/>
    <w:rsid w:val="00524EC4"/>
    <w:rsid w:val="005325D3"/>
    <w:rsid w:val="005355CA"/>
    <w:rsid w:val="0053693B"/>
    <w:rsid w:val="005450B6"/>
    <w:rsid w:val="005475B3"/>
    <w:rsid w:val="00553BAE"/>
    <w:rsid w:val="0055671F"/>
    <w:rsid w:val="00563EB3"/>
    <w:rsid w:val="00566B84"/>
    <w:rsid w:val="005714B2"/>
    <w:rsid w:val="00582115"/>
    <w:rsid w:val="00584F58"/>
    <w:rsid w:val="00593364"/>
    <w:rsid w:val="005A1662"/>
    <w:rsid w:val="005A3887"/>
    <w:rsid w:val="005A6845"/>
    <w:rsid w:val="005A6FD2"/>
    <w:rsid w:val="005B2F17"/>
    <w:rsid w:val="005D4FC2"/>
    <w:rsid w:val="005D65F7"/>
    <w:rsid w:val="005D701A"/>
    <w:rsid w:val="005E0347"/>
    <w:rsid w:val="005E03CF"/>
    <w:rsid w:val="005E05DF"/>
    <w:rsid w:val="005E1D38"/>
    <w:rsid w:val="005E4549"/>
    <w:rsid w:val="005E4DD2"/>
    <w:rsid w:val="005F6A8A"/>
    <w:rsid w:val="0060286A"/>
    <w:rsid w:val="00605DEF"/>
    <w:rsid w:val="00645098"/>
    <w:rsid w:val="00651729"/>
    <w:rsid w:val="006523EE"/>
    <w:rsid w:val="00653AF1"/>
    <w:rsid w:val="00657358"/>
    <w:rsid w:val="006655CE"/>
    <w:rsid w:val="00677BFA"/>
    <w:rsid w:val="006A534A"/>
    <w:rsid w:val="006B1590"/>
    <w:rsid w:val="006B5C7C"/>
    <w:rsid w:val="006D1550"/>
    <w:rsid w:val="006D7025"/>
    <w:rsid w:val="006E5C31"/>
    <w:rsid w:val="006E6980"/>
    <w:rsid w:val="006F3B63"/>
    <w:rsid w:val="007010C1"/>
    <w:rsid w:val="00731B83"/>
    <w:rsid w:val="00746448"/>
    <w:rsid w:val="0075314B"/>
    <w:rsid w:val="00755523"/>
    <w:rsid w:val="00762126"/>
    <w:rsid w:val="0078680B"/>
    <w:rsid w:val="007A75C4"/>
    <w:rsid w:val="007B1E02"/>
    <w:rsid w:val="007B5CF1"/>
    <w:rsid w:val="007C62C1"/>
    <w:rsid w:val="007C62D8"/>
    <w:rsid w:val="007E6808"/>
    <w:rsid w:val="007F3A31"/>
    <w:rsid w:val="007F7F9B"/>
    <w:rsid w:val="00806369"/>
    <w:rsid w:val="00812FBE"/>
    <w:rsid w:val="008222F1"/>
    <w:rsid w:val="008234B2"/>
    <w:rsid w:val="00830A7E"/>
    <w:rsid w:val="00850794"/>
    <w:rsid w:val="00871716"/>
    <w:rsid w:val="00877F84"/>
    <w:rsid w:val="008947C4"/>
    <w:rsid w:val="00896800"/>
    <w:rsid w:val="008A1AB7"/>
    <w:rsid w:val="008B79E7"/>
    <w:rsid w:val="008C331B"/>
    <w:rsid w:val="008D1FFF"/>
    <w:rsid w:val="008D5B9C"/>
    <w:rsid w:val="008F02C9"/>
    <w:rsid w:val="0090007C"/>
    <w:rsid w:val="00901E94"/>
    <w:rsid w:val="009204D0"/>
    <w:rsid w:val="0093253A"/>
    <w:rsid w:val="009416E8"/>
    <w:rsid w:val="00945EC9"/>
    <w:rsid w:val="009530AB"/>
    <w:rsid w:val="00955779"/>
    <w:rsid w:val="0097106E"/>
    <w:rsid w:val="00974B51"/>
    <w:rsid w:val="00983947"/>
    <w:rsid w:val="00983E64"/>
    <w:rsid w:val="0098771B"/>
    <w:rsid w:val="009B2617"/>
    <w:rsid w:val="009D63EF"/>
    <w:rsid w:val="009E1D11"/>
    <w:rsid w:val="009F2B5E"/>
    <w:rsid w:val="009F5EBA"/>
    <w:rsid w:val="00A0596A"/>
    <w:rsid w:val="00A167A9"/>
    <w:rsid w:val="00A20D1D"/>
    <w:rsid w:val="00A2365C"/>
    <w:rsid w:val="00A236AE"/>
    <w:rsid w:val="00A2403D"/>
    <w:rsid w:val="00A24C29"/>
    <w:rsid w:val="00A24DDF"/>
    <w:rsid w:val="00A40E8A"/>
    <w:rsid w:val="00A5491A"/>
    <w:rsid w:val="00A56F05"/>
    <w:rsid w:val="00A57385"/>
    <w:rsid w:val="00A666F9"/>
    <w:rsid w:val="00A71D6B"/>
    <w:rsid w:val="00A74F96"/>
    <w:rsid w:val="00A81036"/>
    <w:rsid w:val="00A9681A"/>
    <w:rsid w:val="00A96AB1"/>
    <w:rsid w:val="00AA7C98"/>
    <w:rsid w:val="00AC22D8"/>
    <w:rsid w:val="00AC7BC9"/>
    <w:rsid w:val="00AD29C3"/>
    <w:rsid w:val="00B00E00"/>
    <w:rsid w:val="00B05617"/>
    <w:rsid w:val="00B07101"/>
    <w:rsid w:val="00B149A7"/>
    <w:rsid w:val="00B1530A"/>
    <w:rsid w:val="00B205E3"/>
    <w:rsid w:val="00B210B8"/>
    <w:rsid w:val="00B233ED"/>
    <w:rsid w:val="00B27016"/>
    <w:rsid w:val="00B3748D"/>
    <w:rsid w:val="00B40A8E"/>
    <w:rsid w:val="00B4268A"/>
    <w:rsid w:val="00B62AAD"/>
    <w:rsid w:val="00B831BA"/>
    <w:rsid w:val="00B8701A"/>
    <w:rsid w:val="00BA7E4C"/>
    <w:rsid w:val="00BB24A1"/>
    <w:rsid w:val="00BC4243"/>
    <w:rsid w:val="00BC51D6"/>
    <w:rsid w:val="00BC5645"/>
    <w:rsid w:val="00BD24DC"/>
    <w:rsid w:val="00BD6223"/>
    <w:rsid w:val="00BE6BCF"/>
    <w:rsid w:val="00C008DB"/>
    <w:rsid w:val="00C07756"/>
    <w:rsid w:val="00C15A18"/>
    <w:rsid w:val="00C21CC7"/>
    <w:rsid w:val="00C25015"/>
    <w:rsid w:val="00C44B95"/>
    <w:rsid w:val="00C633DE"/>
    <w:rsid w:val="00C74714"/>
    <w:rsid w:val="00C83B7B"/>
    <w:rsid w:val="00C869E9"/>
    <w:rsid w:val="00CA1334"/>
    <w:rsid w:val="00CA324E"/>
    <w:rsid w:val="00CC0416"/>
    <w:rsid w:val="00CC27BD"/>
    <w:rsid w:val="00CC612A"/>
    <w:rsid w:val="00CD1A8B"/>
    <w:rsid w:val="00CD3324"/>
    <w:rsid w:val="00CD5FC9"/>
    <w:rsid w:val="00CE4911"/>
    <w:rsid w:val="00CE57F6"/>
    <w:rsid w:val="00CE5D7A"/>
    <w:rsid w:val="00CE64FF"/>
    <w:rsid w:val="00CF1025"/>
    <w:rsid w:val="00CF6BBD"/>
    <w:rsid w:val="00CF6FF4"/>
    <w:rsid w:val="00D10749"/>
    <w:rsid w:val="00D133DF"/>
    <w:rsid w:val="00D146B1"/>
    <w:rsid w:val="00D262FC"/>
    <w:rsid w:val="00D30184"/>
    <w:rsid w:val="00D46472"/>
    <w:rsid w:val="00D55138"/>
    <w:rsid w:val="00D568F0"/>
    <w:rsid w:val="00D85287"/>
    <w:rsid w:val="00D86E1C"/>
    <w:rsid w:val="00DA0558"/>
    <w:rsid w:val="00DA4FF4"/>
    <w:rsid w:val="00DB369C"/>
    <w:rsid w:val="00DB6E51"/>
    <w:rsid w:val="00DE7099"/>
    <w:rsid w:val="00E02294"/>
    <w:rsid w:val="00E1441F"/>
    <w:rsid w:val="00E1472E"/>
    <w:rsid w:val="00E159F4"/>
    <w:rsid w:val="00E16287"/>
    <w:rsid w:val="00E32FDD"/>
    <w:rsid w:val="00E45BDC"/>
    <w:rsid w:val="00E46056"/>
    <w:rsid w:val="00E517E0"/>
    <w:rsid w:val="00E61F9E"/>
    <w:rsid w:val="00E70B44"/>
    <w:rsid w:val="00E772E4"/>
    <w:rsid w:val="00E87D6B"/>
    <w:rsid w:val="00E92BF5"/>
    <w:rsid w:val="00EA091C"/>
    <w:rsid w:val="00EA1102"/>
    <w:rsid w:val="00EA3358"/>
    <w:rsid w:val="00EA3A1F"/>
    <w:rsid w:val="00EA4BD5"/>
    <w:rsid w:val="00EA78B1"/>
    <w:rsid w:val="00EB0F80"/>
    <w:rsid w:val="00EB755C"/>
    <w:rsid w:val="00EB7A5A"/>
    <w:rsid w:val="00EC375F"/>
    <w:rsid w:val="00ED51F5"/>
    <w:rsid w:val="00EE4C4D"/>
    <w:rsid w:val="00EF4D47"/>
    <w:rsid w:val="00EF75A5"/>
    <w:rsid w:val="00F04281"/>
    <w:rsid w:val="00F06936"/>
    <w:rsid w:val="00F23AEA"/>
    <w:rsid w:val="00F45752"/>
    <w:rsid w:val="00F60C3F"/>
    <w:rsid w:val="00F6138F"/>
    <w:rsid w:val="00F65BDF"/>
    <w:rsid w:val="00F80837"/>
    <w:rsid w:val="00F84459"/>
    <w:rsid w:val="00F870FD"/>
    <w:rsid w:val="00F87199"/>
    <w:rsid w:val="00F965DF"/>
    <w:rsid w:val="00FA2F11"/>
    <w:rsid w:val="00FA303B"/>
    <w:rsid w:val="00FC1CDF"/>
    <w:rsid w:val="00FC2581"/>
    <w:rsid w:val="00FC68A1"/>
    <w:rsid w:val="00FC6E4C"/>
    <w:rsid w:val="00FD5EC1"/>
    <w:rsid w:val="00FD794E"/>
    <w:rsid w:val="00FE2900"/>
    <w:rsid w:val="00FE7341"/>
    <w:rsid w:val="00FF2D59"/>
    <w:rsid w:val="00FF542A"/>
    <w:rsid w:val="00FF72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ommentText"/>
    <w:qFormat/>
    <w:rsid w:val="00317E2C"/>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7E2C"/>
    <w:pPr>
      <w:tabs>
        <w:tab w:val="center" w:pos="4320"/>
        <w:tab w:val="right" w:pos="8640"/>
      </w:tabs>
    </w:pPr>
  </w:style>
  <w:style w:type="character" w:customStyle="1" w:styleId="HeaderChar">
    <w:name w:val="Header Char"/>
    <w:basedOn w:val="DefaultParagraphFont"/>
    <w:semiHidden/>
    <w:locked/>
    <w:rsid w:val="00317E2C"/>
    <w:rPr>
      <w:rFonts w:cs="Times New Roman"/>
      <w:sz w:val="24"/>
      <w:szCs w:val="24"/>
    </w:rPr>
  </w:style>
  <w:style w:type="table" w:styleId="TableGrid">
    <w:name w:val="Table Grid"/>
    <w:basedOn w:val="TableNormal"/>
    <w:rsid w:val="00317E2C"/>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17E2C"/>
    <w:rPr>
      <w:rFonts w:ascii="Times New Roman" w:hAnsi="Times New Roman" w:cs="Times New Roman"/>
      <w:color w:val="0000FF"/>
      <w:u w:val="single"/>
    </w:rPr>
  </w:style>
  <w:style w:type="paragraph" w:styleId="BalloonText">
    <w:name w:val="Balloon Text"/>
    <w:basedOn w:val="Normal"/>
    <w:link w:val="BalloonTextChar"/>
    <w:rsid w:val="00317E2C"/>
    <w:rPr>
      <w:sz w:val="16"/>
      <w:szCs w:val="16"/>
    </w:rPr>
  </w:style>
  <w:style w:type="character" w:customStyle="1" w:styleId="BalloonTextChar">
    <w:name w:val="Balloon Text Char"/>
    <w:basedOn w:val="DefaultParagraphFont"/>
    <w:link w:val="BalloonText"/>
    <w:locked/>
    <w:rsid w:val="00317E2C"/>
    <w:rPr>
      <w:rFonts w:ascii="Times New Roman" w:hAnsi="Times New Roman" w:cs="Times New Roman"/>
      <w:sz w:val="16"/>
      <w:szCs w:val="16"/>
    </w:rPr>
  </w:style>
  <w:style w:type="character" w:styleId="CommentReference">
    <w:name w:val="annotation reference"/>
    <w:basedOn w:val="DefaultParagraphFont"/>
    <w:semiHidden/>
    <w:rsid w:val="00317E2C"/>
    <w:rPr>
      <w:rFonts w:cs="Times New Roman"/>
      <w:sz w:val="16"/>
      <w:szCs w:val="16"/>
    </w:rPr>
  </w:style>
  <w:style w:type="paragraph" w:styleId="CommentText">
    <w:name w:val="annotation text"/>
    <w:basedOn w:val="Normal"/>
    <w:semiHidden/>
    <w:rsid w:val="00317E2C"/>
    <w:rPr>
      <w:sz w:val="20"/>
      <w:szCs w:val="20"/>
    </w:rPr>
  </w:style>
  <w:style w:type="character" w:customStyle="1" w:styleId="ListParagraphChar">
    <w:name w:val="List Paragraph Char"/>
    <w:basedOn w:val="DefaultParagraphFont"/>
    <w:link w:val="ListParagraph"/>
    <w:semiHidden/>
    <w:locked/>
    <w:rsid w:val="00317E2C"/>
    <w:rPr>
      <w:rFonts w:cs="Times New Roman"/>
      <w:sz w:val="20"/>
      <w:szCs w:val="20"/>
    </w:rPr>
  </w:style>
  <w:style w:type="paragraph" w:styleId="CommentSubject">
    <w:name w:val="annotation subject"/>
    <w:basedOn w:val="CommentText"/>
    <w:next w:val="CommentText"/>
    <w:semiHidden/>
    <w:rsid w:val="00317E2C"/>
    <w:rPr>
      <w:b/>
      <w:bCs/>
    </w:rPr>
  </w:style>
  <w:style w:type="character" w:customStyle="1" w:styleId="CommentSubjectChar">
    <w:name w:val="Comment Subject Char"/>
    <w:basedOn w:val="ListParagraphChar"/>
    <w:semiHidden/>
    <w:locked/>
    <w:rsid w:val="00317E2C"/>
    <w:rPr>
      <w:b/>
      <w:bCs/>
    </w:rPr>
  </w:style>
  <w:style w:type="paragraph" w:styleId="ListParagraph">
    <w:name w:val="List Paragraph"/>
    <w:basedOn w:val="Normal"/>
    <w:link w:val="ListParagraphChar"/>
    <w:qFormat/>
    <w:rsid w:val="00317E2C"/>
    <w:pPr>
      <w:spacing w:after="200" w:line="276" w:lineRule="auto"/>
      <w:ind w:left="720"/>
      <w:contextualSpacing/>
    </w:pPr>
    <w:rPr>
      <w:rFonts w:cs="Arial"/>
      <w:sz w:val="22"/>
      <w:szCs w:val="22"/>
    </w:rPr>
  </w:style>
  <w:style w:type="paragraph" w:styleId="Caption">
    <w:name w:val="caption"/>
    <w:basedOn w:val="Normal"/>
    <w:next w:val="Normal"/>
    <w:qFormat/>
    <w:locked/>
    <w:rsid w:val="00317E2C"/>
    <w:pPr>
      <w:spacing w:after="200"/>
    </w:pPr>
    <w:rPr>
      <w:b/>
      <w:bCs/>
      <w:color w:val="4F81BD"/>
      <w:sz w:val="18"/>
      <w:szCs w:val="18"/>
    </w:rPr>
  </w:style>
  <w:style w:type="character" w:customStyle="1" w:styleId="tw4winMark">
    <w:name w:val="tw4winMark"/>
    <w:rsid w:val="00317E2C"/>
    <w:rPr>
      <w:rFonts w:ascii="Courier New" w:hAnsi="Courier New"/>
      <w:vanish/>
      <w:color w:val="800080"/>
      <w:sz w:val="24"/>
      <w:vertAlign w:val="subscript"/>
    </w:rPr>
  </w:style>
  <w:style w:type="character" w:customStyle="1" w:styleId="tw4winError">
    <w:name w:val="tw4winError"/>
    <w:rsid w:val="00317E2C"/>
    <w:rPr>
      <w:rFonts w:ascii="Courier New" w:hAnsi="Courier New"/>
      <w:color w:val="00FF00"/>
      <w:sz w:val="40"/>
    </w:rPr>
  </w:style>
  <w:style w:type="character" w:customStyle="1" w:styleId="tw4winTerm">
    <w:name w:val="tw4winTerm"/>
    <w:rsid w:val="00317E2C"/>
    <w:rPr>
      <w:color w:val="0000FF"/>
    </w:rPr>
  </w:style>
  <w:style w:type="character" w:customStyle="1" w:styleId="tw4winPopup">
    <w:name w:val="tw4winPopup"/>
    <w:rsid w:val="00317E2C"/>
    <w:rPr>
      <w:rFonts w:ascii="Courier New" w:hAnsi="Courier New"/>
      <w:noProof/>
      <w:color w:val="008000"/>
    </w:rPr>
  </w:style>
  <w:style w:type="character" w:customStyle="1" w:styleId="tw4winJump">
    <w:name w:val="tw4winJump"/>
    <w:rsid w:val="00317E2C"/>
    <w:rPr>
      <w:rFonts w:ascii="Courier New" w:hAnsi="Courier New"/>
      <w:noProof/>
      <w:color w:val="008080"/>
    </w:rPr>
  </w:style>
  <w:style w:type="character" w:customStyle="1" w:styleId="tw4winExternal">
    <w:name w:val="tw4winExternal"/>
    <w:rsid w:val="00317E2C"/>
    <w:rPr>
      <w:rFonts w:ascii="Courier New" w:hAnsi="Courier New"/>
      <w:noProof/>
      <w:color w:val="808080"/>
    </w:rPr>
  </w:style>
  <w:style w:type="character" w:customStyle="1" w:styleId="tw4winInternal">
    <w:name w:val="tw4winInternal"/>
    <w:rsid w:val="00317E2C"/>
    <w:rPr>
      <w:rFonts w:ascii="Courier New" w:hAnsi="Courier New"/>
      <w:noProof/>
      <w:color w:val="FF0000"/>
    </w:rPr>
  </w:style>
  <w:style w:type="character" w:customStyle="1" w:styleId="DONOTTRANSLATE">
    <w:name w:val="DO_NOT_TRANSLATE"/>
    <w:rsid w:val="00317E2C"/>
    <w:rPr>
      <w:rFonts w:ascii="Courier New" w:hAnsi="Courier New"/>
      <w:noProof/>
      <w:color w:val="800000"/>
    </w:rPr>
  </w:style>
  <w:style w:type="paragraph" w:styleId="Footer">
    <w:name w:val="footer"/>
    <w:basedOn w:val="Normal"/>
    <w:rsid w:val="00ED51F5"/>
    <w:pPr>
      <w:tabs>
        <w:tab w:val="center" w:pos="4320"/>
        <w:tab w:val="right" w:pos="8640"/>
      </w:tabs>
    </w:pPr>
  </w:style>
  <w:style w:type="character" w:styleId="PageNumber">
    <w:name w:val="page number"/>
    <w:basedOn w:val="DefaultParagraphFont"/>
    <w:rsid w:val="00ED51F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IFC</Company>
  <LinksUpToDate>false</LinksUpToDate>
  <CharactersWithSpaces>5019</CharactersWithSpaces>
  <SharedDoc>false</SharedDoc>
  <HLinks>
    <vt:vector size="18" baseType="variant">
      <vt:variant>
        <vt:i4>2687082</vt:i4>
      </vt:variant>
      <vt:variant>
        <vt:i4>6</vt:i4>
      </vt:variant>
      <vt:variant>
        <vt:i4>0</vt:i4>
      </vt:variant>
      <vt:variant>
        <vt:i4>5</vt:i4>
      </vt:variant>
      <vt:variant>
        <vt:lpwstr>http://www.ifc.org/</vt:lpwstr>
      </vt:variant>
      <vt:variant>
        <vt:lpwstr/>
      </vt:variant>
      <vt:variant>
        <vt:i4>5374032</vt:i4>
      </vt:variant>
      <vt:variant>
        <vt:i4>3</vt:i4>
      </vt:variant>
      <vt:variant>
        <vt:i4>0</vt:i4>
      </vt:variant>
      <vt:variant>
        <vt:i4>5</vt:i4>
      </vt:variant>
      <vt:variant>
        <vt:lpwstr>http://www.miga.org/</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SDekouadio</dc:creator>
  <cp:lastModifiedBy>nsghannam</cp:lastModifiedBy>
  <cp:revision>2</cp:revision>
  <cp:lastPrinted>2010-10-27T15:36:00Z</cp:lastPrinted>
  <dcterms:created xsi:type="dcterms:W3CDTF">2010-11-01T20:27:00Z</dcterms:created>
  <dcterms:modified xsi:type="dcterms:W3CDTF">2010-11-01T20:27:00Z</dcterms:modified>
</cp:coreProperties>
</file>